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8B31" w14:textId="77777777" w:rsidR="008750DE" w:rsidRDefault="00634C8F" w:rsidP="008750DE">
      <w:pPr>
        <w:widowControl w:val="0"/>
        <w:autoSpaceDE w:val="0"/>
        <w:autoSpaceDN w:val="0"/>
        <w:adjustRightInd w:val="0"/>
        <w:jc w:val="center"/>
        <w:rPr>
          <w:rFonts w:ascii="Times New Roman" w:hAnsi="Times New Roman" w:cs="Times New Roman"/>
          <w:sz w:val="28"/>
          <w:szCs w:val="28"/>
        </w:rPr>
      </w:pPr>
      <w:r>
        <w:rPr>
          <w:noProof/>
        </w:rPr>
        <w:drawing>
          <wp:inline distT="0" distB="0" distL="0" distR="0" wp14:anchorId="615B8BA8" wp14:editId="100983A0">
            <wp:extent cx="6380480" cy="952500"/>
            <wp:effectExtent l="0" t="0" r="0" b="12700"/>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0480" cy="952500"/>
                    </a:xfrm>
                    <a:prstGeom prst="rect">
                      <a:avLst/>
                    </a:prstGeom>
                    <a:noFill/>
                    <a:ln>
                      <a:noFill/>
                    </a:ln>
                  </pic:spPr>
                </pic:pic>
              </a:graphicData>
            </a:graphic>
          </wp:inline>
        </w:drawing>
      </w:r>
    </w:p>
    <w:p w14:paraId="405D9039" w14:textId="77777777" w:rsidR="008750DE" w:rsidRDefault="008750DE" w:rsidP="009728C3">
      <w:pPr>
        <w:widowControl w:val="0"/>
        <w:autoSpaceDE w:val="0"/>
        <w:autoSpaceDN w:val="0"/>
        <w:adjustRightInd w:val="0"/>
        <w:rPr>
          <w:rFonts w:ascii="Times New Roman" w:hAnsi="Times New Roman" w:cs="Times New Roman"/>
          <w:sz w:val="28"/>
          <w:szCs w:val="28"/>
        </w:rPr>
      </w:pPr>
    </w:p>
    <w:p w14:paraId="1607241A" w14:textId="77777777" w:rsidR="009728C3" w:rsidRPr="009728C3" w:rsidRDefault="009728C3" w:rsidP="009728C3">
      <w:pPr>
        <w:widowControl w:val="0"/>
        <w:autoSpaceDE w:val="0"/>
        <w:autoSpaceDN w:val="0"/>
        <w:adjustRightInd w:val="0"/>
        <w:rPr>
          <w:rFonts w:ascii="Times New Roman" w:hAnsi="Times New Roman" w:cs="Times New Roman"/>
          <w:sz w:val="20"/>
          <w:szCs w:val="20"/>
        </w:rPr>
      </w:pPr>
    </w:p>
    <w:p w14:paraId="2B5D0959" w14:textId="0FD0D27F" w:rsidR="008750DE" w:rsidRPr="00D10A6E" w:rsidRDefault="008750DE" w:rsidP="008750DE">
      <w:pPr>
        <w:widowControl w:val="0"/>
        <w:autoSpaceDE w:val="0"/>
        <w:autoSpaceDN w:val="0"/>
        <w:adjustRightInd w:val="0"/>
        <w:jc w:val="center"/>
        <w:rPr>
          <w:rFonts w:asciiTheme="majorHAnsi" w:hAnsiTheme="majorHAnsi" w:cs="Lucida Grande"/>
          <w:sz w:val="32"/>
          <w:szCs w:val="32"/>
        </w:rPr>
      </w:pPr>
      <w:r w:rsidRPr="00D10A6E">
        <w:rPr>
          <w:rFonts w:asciiTheme="majorHAnsi" w:hAnsiTheme="majorHAnsi" w:cs="Times New Roman"/>
          <w:sz w:val="32"/>
          <w:szCs w:val="32"/>
        </w:rPr>
        <w:t xml:space="preserve">IPL </w:t>
      </w:r>
      <w:proofErr w:type="spellStart"/>
      <w:r w:rsidRPr="00D10A6E">
        <w:rPr>
          <w:rFonts w:asciiTheme="majorHAnsi" w:hAnsiTheme="majorHAnsi" w:cs="Times New Roman"/>
          <w:sz w:val="32"/>
          <w:szCs w:val="32"/>
        </w:rPr>
        <w:t>Photo­Rejuvenation</w:t>
      </w:r>
      <w:proofErr w:type="spellEnd"/>
      <w:r w:rsidR="00D10A6E" w:rsidRPr="00D10A6E">
        <w:rPr>
          <w:rFonts w:asciiTheme="majorHAnsi" w:hAnsiTheme="majorHAnsi" w:cs="Lucida Grande"/>
          <w:sz w:val="32"/>
          <w:szCs w:val="32"/>
        </w:rPr>
        <w:t xml:space="preserve"> </w:t>
      </w:r>
      <w:proofErr w:type="spellStart"/>
      <w:r w:rsidR="00D10A6E" w:rsidRPr="00D10A6E">
        <w:rPr>
          <w:rFonts w:asciiTheme="majorHAnsi" w:hAnsiTheme="majorHAnsi" w:cs="Times New Roman"/>
          <w:sz w:val="32"/>
          <w:szCs w:val="32"/>
        </w:rPr>
        <w:t>Pre</w:t>
      </w:r>
      <w:r w:rsidRPr="00D10A6E">
        <w:rPr>
          <w:rFonts w:asciiTheme="majorHAnsi" w:hAnsiTheme="majorHAnsi" w:cs="Times New Roman"/>
          <w:sz w:val="32"/>
          <w:szCs w:val="32"/>
        </w:rPr>
        <w:t>Treatment</w:t>
      </w:r>
      <w:proofErr w:type="spellEnd"/>
      <w:r w:rsidRPr="00D10A6E">
        <w:rPr>
          <w:rFonts w:asciiTheme="majorHAnsi" w:hAnsiTheme="majorHAnsi" w:cs="Times New Roman"/>
          <w:sz w:val="32"/>
          <w:szCs w:val="32"/>
        </w:rPr>
        <w:t xml:space="preserve"> Instructions</w:t>
      </w:r>
    </w:p>
    <w:p w14:paraId="2B3C58A0" w14:textId="77777777" w:rsidR="008750DE" w:rsidRPr="00875415" w:rsidRDefault="00CB7158" w:rsidP="008750DE">
      <w:pPr>
        <w:widowControl w:val="0"/>
        <w:autoSpaceDE w:val="0"/>
        <w:autoSpaceDN w:val="0"/>
        <w:adjustRightInd w:val="0"/>
        <w:jc w:val="center"/>
        <w:rPr>
          <w:rFonts w:asciiTheme="majorHAnsi" w:hAnsiTheme="majorHAnsi" w:cs="Times New Roman"/>
          <w:sz w:val="28"/>
          <w:szCs w:val="28"/>
        </w:rPr>
      </w:pPr>
      <w:r>
        <w:rPr>
          <w:rFonts w:asciiTheme="majorHAnsi" w:hAnsiTheme="majorHAnsi" w:cs="Times New Roman"/>
          <w:sz w:val="28"/>
          <w:szCs w:val="28"/>
        </w:rPr>
        <w:pict w14:anchorId="580B5190">
          <v:rect id="_x0000_i1025" style="width:0;height:1.5pt" o:hralign="center" o:hrstd="t" o:hr="t" fillcolor="#aaa" stroked="f"/>
        </w:pict>
      </w:r>
    </w:p>
    <w:p w14:paraId="4520BBEE" w14:textId="77777777" w:rsidR="008750DE" w:rsidRPr="00875415" w:rsidRDefault="008750DE" w:rsidP="008750DE">
      <w:pPr>
        <w:widowControl w:val="0"/>
        <w:autoSpaceDE w:val="0"/>
        <w:autoSpaceDN w:val="0"/>
        <w:adjustRightInd w:val="0"/>
        <w:rPr>
          <w:rFonts w:asciiTheme="majorHAnsi" w:hAnsiTheme="majorHAnsi" w:cs="Lucida Grande"/>
          <w:sz w:val="22"/>
          <w:szCs w:val="22"/>
        </w:rPr>
      </w:pPr>
    </w:p>
    <w:p w14:paraId="13D67015" w14:textId="77777777" w:rsidR="008750DE" w:rsidRPr="00875415" w:rsidRDefault="008750DE" w:rsidP="008750DE">
      <w:pPr>
        <w:widowControl w:val="0"/>
        <w:numPr>
          <w:ilvl w:val="0"/>
          <w:numId w:val="1"/>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All make­up and lotions need to be removed before treatment.</w:t>
      </w:r>
    </w:p>
    <w:p w14:paraId="24968835"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3DF42408" w14:textId="77777777" w:rsidR="008750DE" w:rsidRPr="00875415" w:rsidRDefault="008750DE" w:rsidP="008750DE">
      <w:pPr>
        <w:widowControl w:val="0"/>
        <w:numPr>
          <w:ilvl w:val="0"/>
          <w:numId w:val="2"/>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No Accutane use for AT LEAST six month prior to treatment.</w:t>
      </w:r>
    </w:p>
    <w:p w14:paraId="5A172B62"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45E83EB2" w14:textId="1C0781D4" w:rsidR="008750DE" w:rsidRPr="00875415" w:rsidRDefault="008750DE" w:rsidP="008750DE">
      <w:pPr>
        <w:widowControl w:val="0"/>
        <w:numPr>
          <w:ilvl w:val="0"/>
          <w:numId w:val="3"/>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 xml:space="preserve">No sun exposure or use of </w:t>
      </w:r>
      <w:proofErr w:type="gramStart"/>
      <w:r w:rsidRPr="00875415">
        <w:rPr>
          <w:rFonts w:asciiTheme="majorHAnsi" w:hAnsiTheme="majorHAnsi" w:cs="Times New Roman"/>
          <w:sz w:val="22"/>
          <w:szCs w:val="22"/>
        </w:rPr>
        <w:t>self ­</w:t>
      </w:r>
      <w:proofErr w:type="gramEnd"/>
      <w:r w:rsidRPr="00875415">
        <w:rPr>
          <w:rFonts w:asciiTheme="majorHAnsi" w:hAnsiTheme="majorHAnsi" w:cs="Times New Roman"/>
          <w:sz w:val="22"/>
          <w:szCs w:val="22"/>
        </w:rPr>
        <w:t>tanning products for two weeks minimum before and during the full course of therapy. Sun protections with sunscreen (at least SPF 30), protective clothing and sunglasses are essential prior to, in between, and following your series of treatment. If you are currently tan</w:t>
      </w:r>
      <w:r w:rsidR="00CB7158">
        <w:rPr>
          <w:rFonts w:asciiTheme="majorHAnsi" w:hAnsiTheme="majorHAnsi" w:cs="Times New Roman"/>
          <w:sz w:val="22"/>
          <w:szCs w:val="22"/>
        </w:rPr>
        <w:t>ned</w:t>
      </w:r>
      <w:r w:rsidRPr="00875415">
        <w:rPr>
          <w:rFonts w:asciiTheme="majorHAnsi" w:hAnsiTheme="majorHAnsi" w:cs="Times New Roman"/>
          <w:sz w:val="22"/>
          <w:szCs w:val="22"/>
        </w:rPr>
        <w:t>, you will need to postpone your first treatment.</w:t>
      </w:r>
    </w:p>
    <w:p w14:paraId="79BA024F"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6FF7941F" w14:textId="77777777" w:rsidR="008750DE" w:rsidRPr="00875415" w:rsidRDefault="008750DE" w:rsidP="008750DE">
      <w:pPr>
        <w:widowControl w:val="0"/>
        <w:numPr>
          <w:ilvl w:val="0"/>
          <w:numId w:val="4"/>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Avoid aspirin, Advil, Motrin, or any other aspirin containing products for at least one week prior to the procedure. This will help minimize possible bruising.</w:t>
      </w:r>
    </w:p>
    <w:p w14:paraId="07FA5A2F"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2A62665D" w14:textId="2DF82B60" w:rsidR="008750DE" w:rsidRPr="00875415" w:rsidRDefault="008750DE" w:rsidP="008750DE">
      <w:pPr>
        <w:widowControl w:val="0"/>
        <w:numPr>
          <w:ilvl w:val="0"/>
          <w:numId w:val="5"/>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 xml:space="preserve">You should discontinue the use of any anticoagulant herbal remedies including but not limited to garlic, ginger, gingko, cayenne, selenium and </w:t>
      </w:r>
      <w:r w:rsidR="00CB7158">
        <w:rPr>
          <w:rFonts w:asciiTheme="majorHAnsi" w:hAnsiTheme="majorHAnsi" w:cs="Times New Roman"/>
          <w:sz w:val="22"/>
          <w:szCs w:val="22"/>
        </w:rPr>
        <w:t>papaya supplements</w:t>
      </w:r>
      <w:r w:rsidRPr="00875415">
        <w:rPr>
          <w:rFonts w:asciiTheme="majorHAnsi" w:hAnsiTheme="majorHAnsi" w:cs="Times New Roman"/>
          <w:sz w:val="22"/>
          <w:szCs w:val="22"/>
        </w:rPr>
        <w:t>.</w:t>
      </w:r>
    </w:p>
    <w:p w14:paraId="1BFDB47C"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6F01C373" w14:textId="77777777" w:rsidR="008750DE" w:rsidRPr="00875415" w:rsidRDefault="008750DE" w:rsidP="008750DE">
      <w:pPr>
        <w:widowControl w:val="0"/>
        <w:numPr>
          <w:ilvl w:val="0"/>
          <w:numId w:val="6"/>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You are not a candidate for IPL if you have a blood clot forming disorder (i.e. excessive bleeding).</w:t>
      </w:r>
    </w:p>
    <w:p w14:paraId="31B3FAC7"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60A882A0" w14:textId="1EDD6967" w:rsidR="008750DE" w:rsidRPr="00875415" w:rsidRDefault="008750DE" w:rsidP="008750DE">
      <w:pPr>
        <w:widowControl w:val="0"/>
        <w:numPr>
          <w:ilvl w:val="0"/>
          <w:numId w:val="7"/>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 xml:space="preserve">Discontinue use of </w:t>
      </w:r>
      <w:proofErr w:type="spellStart"/>
      <w:r w:rsidRPr="00875415">
        <w:rPr>
          <w:rFonts w:asciiTheme="majorHAnsi" w:hAnsiTheme="majorHAnsi" w:cs="Times New Roman"/>
          <w:sz w:val="22"/>
          <w:szCs w:val="22"/>
        </w:rPr>
        <w:t>Retin­A</w:t>
      </w:r>
      <w:proofErr w:type="spellEnd"/>
      <w:r w:rsidRPr="00875415">
        <w:rPr>
          <w:rFonts w:asciiTheme="majorHAnsi" w:hAnsiTheme="majorHAnsi" w:cs="Times New Roman"/>
          <w:sz w:val="22"/>
          <w:szCs w:val="22"/>
        </w:rPr>
        <w:t xml:space="preserve"> (</w:t>
      </w:r>
      <w:proofErr w:type="spellStart"/>
      <w:r w:rsidRPr="00875415">
        <w:rPr>
          <w:rFonts w:asciiTheme="majorHAnsi" w:hAnsiTheme="majorHAnsi" w:cs="Times New Roman"/>
          <w:sz w:val="22"/>
          <w:szCs w:val="22"/>
        </w:rPr>
        <w:t>tretinoin</w:t>
      </w:r>
      <w:proofErr w:type="spellEnd"/>
      <w:r w:rsidRPr="00875415">
        <w:rPr>
          <w:rFonts w:asciiTheme="majorHAnsi" w:hAnsiTheme="majorHAnsi" w:cs="Times New Roman"/>
          <w:sz w:val="22"/>
          <w:szCs w:val="22"/>
        </w:rPr>
        <w:t>), Hydroquinone, Tetracy</w:t>
      </w:r>
      <w:r w:rsidR="00CB7158">
        <w:rPr>
          <w:rFonts w:asciiTheme="majorHAnsi" w:hAnsiTheme="majorHAnsi" w:cs="Times New Roman"/>
          <w:sz w:val="22"/>
          <w:szCs w:val="22"/>
        </w:rPr>
        <w:t xml:space="preserve">cline or </w:t>
      </w:r>
      <w:proofErr w:type="spellStart"/>
      <w:r w:rsidR="00CB7158">
        <w:rPr>
          <w:rFonts w:asciiTheme="majorHAnsi" w:hAnsiTheme="majorHAnsi" w:cs="Times New Roman"/>
          <w:sz w:val="22"/>
          <w:szCs w:val="22"/>
        </w:rPr>
        <w:t>Minocin</w:t>
      </w:r>
      <w:proofErr w:type="spellEnd"/>
      <w:r w:rsidR="00CB7158">
        <w:rPr>
          <w:rFonts w:asciiTheme="majorHAnsi" w:hAnsiTheme="majorHAnsi" w:cs="Times New Roman"/>
          <w:sz w:val="22"/>
          <w:szCs w:val="22"/>
        </w:rPr>
        <w:t xml:space="preserve"> (minocycline) </w:t>
      </w:r>
      <w:bookmarkStart w:id="0" w:name="_GoBack"/>
      <w:bookmarkEnd w:id="0"/>
      <w:r w:rsidRPr="00875415">
        <w:rPr>
          <w:rFonts w:asciiTheme="majorHAnsi" w:hAnsiTheme="majorHAnsi" w:cs="Times New Roman"/>
          <w:sz w:val="22"/>
          <w:szCs w:val="22"/>
        </w:rPr>
        <w:t>two days prior to all treatments.</w:t>
      </w:r>
    </w:p>
    <w:p w14:paraId="3BA82844"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3D1D8102" w14:textId="77777777" w:rsidR="008750DE" w:rsidRPr="00875415" w:rsidRDefault="008750DE" w:rsidP="008750DE">
      <w:pPr>
        <w:widowControl w:val="0"/>
        <w:numPr>
          <w:ilvl w:val="0"/>
          <w:numId w:val="8"/>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No new medications should be taken for at least two weeks prior to treatment. Please notify us if you must take a new medication prior to treatment.</w:t>
      </w:r>
    </w:p>
    <w:p w14:paraId="2FEB0E6E"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67957098" w14:textId="77777777" w:rsidR="008750DE" w:rsidRPr="00875415" w:rsidRDefault="008750DE" w:rsidP="008750DE">
      <w:pPr>
        <w:widowControl w:val="0"/>
        <w:numPr>
          <w:ilvl w:val="0"/>
          <w:numId w:val="9"/>
        </w:numPr>
        <w:tabs>
          <w:tab w:val="left" w:pos="-3690"/>
          <w:tab w:val="left" w:pos="0"/>
        </w:tabs>
        <w:autoSpaceDE w:val="0"/>
        <w:autoSpaceDN w:val="0"/>
        <w:adjustRightInd w:val="0"/>
        <w:ind w:hanging="720"/>
        <w:rPr>
          <w:rFonts w:asciiTheme="majorHAnsi" w:hAnsiTheme="majorHAnsi" w:cs="Times New Roman"/>
          <w:sz w:val="22"/>
          <w:szCs w:val="22"/>
        </w:rPr>
      </w:pPr>
      <w:r w:rsidRPr="00875415">
        <w:rPr>
          <w:rFonts w:asciiTheme="majorHAnsi" w:hAnsiTheme="majorHAnsi" w:cs="Times New Roman"/>
          <w:sz w:val="22"/>
          <w:szCs w:val="22"/>
        </w:rPr>
        <w:t xml:space="preserve">No exfoliation should be done to the skin for two days before and two days after treatment. This includes the use of </w:t>
      </w:r>
      <w:proofErr w:type="spellStart"/>
      <w:r w:rsidRPr="00875415">
        <w:rPr>
          <w:rFonts w:asciiTheme="majorHAnsi" w:hAnsiTheme="majorHAnsi" w:cs="Times New Roman"/>
          <w:sz w:val="22"/>
          <w:szCs w:val="22"/>
        </w:rPr>
        <w:t>Retin­A</w:t>
      </w:r>
      <w:proofErr w:type="spellEnd"/>
      <w:r w:rsidRPr="00875415">
        <w:rPr>
          <w:rFonts w:asciiTheme="majorHAnsi" w:hAnsiTheme="majorHAnsi" w:cs="Times New Roman"/>
          <w:sz w:val="22"/>
          <w:szCs w:val="22"/>
        </w:rPr>
        <w:t>, glycolic acid, etc.</w:t>
      </w:r>
    </w:p>
    <w:p w14:paraId="6B0D60DE" w14:textId="77777777" w:rsidR="008750DE" w:rsidRPr="00875415" w:rsidRDefault="008750DE" w:rsidP="008750DE">
      <w:pPr>
        <w:widowControl w:val="0"/>
        <w:tabs>
          <w:tab w:val="left" w:pos="-3690"/>
          <w:tab w:val="left" w:pos="0"/>
        </w:tabs>
        <w:autoSpaceDE w:val="0"/>
        <w:autoSpaceDN w:val="0"/>
        <w:adjustRightInd w:val="0"/>
        <w:rPr>
          <w:rFonts w:asciiTheme="majorHAnsi" w:hAnsiTheme="majorHAnsi" w:cs="Lucida Grande"/>
          <w:sz w:val="22"/>
          <w:szCs w:val="22"/>
        </w:rPr>
      </w:pPr>
    </w:p>
    <w:p w14:paraId="7B4A02D4" w14:textId="77777777" w:rsidR="008900A0" w:rsidRDefault="008750DE" w:rsidP="008750DE">
      <w:pPr>
        <w:tabs>
          <w:tab w:val="left" w:pos="-3690"/>
          <w:tab w:val="left" w:pos="0"/>
        </w:tabs>
        <w:rPr>
          <w:rFonts w:asciiTheme="majorHAnsi" w:hAnsiTheme="majorHAnsi" w:cs="Times New Roman"/>
          <w:sz w:val="22"/>
          <w:szCs w:val="22"/>
        </w:rPr>
      </w:pPr>
      <w:r w:rsidRPr="00875415">
        <w:rPr>
          <w:rFonts w:asciiTheme="majorHAnsi" w:hAnsiTheme="majorHAnsi" w:cs="Times New Roman"/>
          <w:sz w:val="22"/>
          <w:szCs w:val="22"/>
        </w:rPr>
        <w:t>If you have a history of cold sores (herpes), we recommend that you take Valtrex during your therapy. Please notify us if you require a prescription for this condition. If you have a current prescription, Valtrex 500 mg should be taken by mouth twice daily on the day before, the day of, and the day after treatment.</w:t>
      </w:r>
    </w:p>
    <w:p w14:paraId="5C89C1E9" w14:textId="77777777" w:rsidR="00D10A6E" w:rsidRDefault="00D10A6E" w:rsidP="008750DE">
      <w:pPr>
        <w:tabs>
          <w:tab w:val="left" w:pos="-3690"/>
          <w:tab w:val="left" w:pos="0"/>
        </w:tabs>
        <w:rPr>
          <w:rFonts w:asciiTheme="majorHAnsi" w:hAnsiTheme="majorHAnsi" w:cs="Times New Roman"/>
          <w:sz w:val="22"/>
          <w:szCs w:val="22"/>
        </w:rPr>
      </w:pPr>
    </w:p>
    <w:p w14:paraId="2BE0FDE2" w14:textId="717892B4" w:rsidR="00D10A6E" w:rsidRDefault="00D10A6E" w:rsidP="008750DE">
      <w:pPr>
        <w:tabs>
          <w:tab w:val="left" w:pos="-3690"/>
          <w:tab w:val="left" w:pos="0"/>
        </w:tabs>
        <w:rPr>
          <w:rFonts w:asciiTheme="majorHAnsi" w:hAnsiTheme="majorHAnsi" w:cs="Times New Roman"/>
          <w:sz w:val="22"/>
          <w:szCs w:val="22"/>
        </w:rPr>
      </w:pPr>
      <w:proofErr w:type="spellStart"/>
      <w:r w:rsidRPr="007D13B4">
        <w:rPr>
          <w:rFonts w:asciiTheme="majorHAnsi" w:hAnsiTheme="majorHAnsi" w:cstheme="majorHAnsi"/>
          <w:i/>
          <w:lang w:val="fr-FR"/>
        </w:rPr>
        <w:t>Please</w:t>
      </w:r>
      <w:proofErr w:type="spellEnd"/>
      <w:r w:rsidRPr="007D13B4">
        <w:rPr>
          <w:rFonts w:asciiTheme="majorHAnsi" w:hAnsiTheme="majorHAnsi" w:cstheme="majorHAnsi"/>
          <w:i/>
          <w:lang w:val="fr-FR"/>
        </w:rPr>
        <w:t xml:space="preserve"> call </w:t>
      </w:r>
      <w:proofErr w:type="spellStart"/>
      <w:r w:rsidRPr="007D13B4">
        <w:rPr>
          <w:rFonts w:asciiTheme="majorHAnsi" w:hAnsiTheme="majorHAnsi" w:cstheme="majorHAnsi"/>
          <w:i/>
          <w:lang w:val="fr-FR"/>
        </w:rPr>
        <w:t>our</w:t>
      </w:r>
      <w:proofErr w:type="spellEnd"/>
      <w:r w:rsidRPr="007D13B4">
        <w:rPr>
          <w:rFonts w:asciiTheme="majorHAnsi" w:hAnsiTheme="majorHAnsi" w:cstheme="majorHAnsi"/>
          <w:i/>
          <w:lang w:val="fr-FR"/>
        </w:rPr>
        <w:t xml:space="preserve"> office </w:t>
      </w:r>
      <w:proofErr w:type="spellStart"/>
      <w:r w:rsidRPr="007D13B4">
        <w:rPr>
          <w:rFonts w:asciiTheme="majorHAnsi" w:hAnsiTheme="majorHAnsi" w:cstheme="majorHAnsi"/>
          <w:i/>
          <w:lang w:val="fr-FR"/>
        </w:rPr>
        <w:t>at</w:t>
      </w:r>
      <w:proofErr w:type="spellEnd"/>
      <w:r w:rsidRPr="007D13B4">
        <w:rPr>
          <w:rFonts w:asciiTheme="majorHAnsi" w:hAnsiTheme="majorHAnsi" w:cstheme="majorHAnsi"/>
          <w:i/>
          <w:lang w:val="fr-FR"/>
        </w:rPr>
        <w:t xml:space="preserve"> 941-266-9090 </w:t>
      </w:r>
      <w:proofErr w:type="spellStart"/>
      <w:r w:rsidRPr="007D13B4">
        <w:rPr>
          <w:rFonts w:asciiTheme="majorHAnsi" w:hAnsiTheme="majorHAnsi" w:cstheme="majorHAnsi"/>
          <w:i/>
          <w:lang w:val="fr-FR"/>
        </w:rPr>
        <w:t>with</w:t>
      </w:r>
      <w:proofErr w:type="spellEnd"/>
      <w:r w:rsidRPr="007D13B4">
        <w:rPr>
          <w:rFonts w:asciiTheme="majorHAnsi" w:hAnsiTheme="majorHAnsi" w:cstheme="majorHAnsi"/>
          <w:i/>
          <w:lang w:val="fr-FR"/>
        </w:rPr>
        <w:t xml:space="preserve"> </w:t>
      </w:r>
      <w:proofErr w:type="spellStart"/>
      <w:r w:rsidRPr="007D13B4">
        <w:rPr>
          <w:rFonts w:asciiTheme="majorHAnsi" w:hAnsiTheme="majorHAnsi" w:cstheme="majorHAnsi"/>
          <w:i/>
          <w:lang w:val="fr-FR"/>
        </w:rPr>
        <w:t>any</w:t>
      </w:r>
      <w:proofErr w:type="spellEnd"/>
      <w:r w:rsidRPr="007D13B4">
        <w:rPr>
          <w:rFonts w:asciiTheme="majorHAnsi" w:hAnsiTheme="majorHAnsi" w:cstheme="majorHAnsi"/>
          <w:i/>
          <w:lang w:val="fr-FR"/>
        </w:rPr>
        <w:t xml:space="preserve"> questions or </w:t>
      </w:r>
      <w:proofErr w:type="spellStart"/>
      <w:r w:rsidRPr="007D13B4">
        <w:rPr>
          <w:rFonts w:asciiTheme="majorHAnsi" w:hAnsiTheme="majorHAnsi" w:cstheme="majorHAnsi"/>
          <w:i/>
          <w:lang w:val="fr-FR"/>
        </w:rPr>
        <w:t>concerns</w:t>
      </w:r>
      <w:proofErr w:type="spellEnd"/>
    </w:p>
    <w:p w14:paraId="4D59E15C" w14:textId="77777777" w:rsidR="00875415" w:rsidRDefault="00875415" w:rsidP="008750DE">
      <w:pPr>
        <w:tabs>
          <w:tab w:val="left" w:pos="-3690"/>
          <w:tab w:val="left" w:pos="0"/>
        </w:tabs>
        <w:rPr>
          <w:rFonts w:asciiTheme="majorHAnsi" w:hAnsiTheme="majorHAnsi" w:cs="Times New Roman"/>
          <w:sz w:val="22"/>
          <w:szCs w:val="22"/>
        </w:rPr>
      </w:pPr>
    </w:p>
    <w:p w14:paraId="0C2765BC" w14:textId="77777777" w:rsidR="00875415" w:rsidRDefault="00875415" w:rsidP="008750DE">
      <w:pPr>
        <w:tabs>
          <w:tab w:val="left" w:pos="-3690"/>
          <w:tab w:val="left" w:pos="0"/>
        </w:tabs>
        <w:rPr>
          <w:rFonts w:asciiTheme="majorHAnsi" w:hAnsiTheme="majorHAnsi" w:cs="Times New Roman"/>
          <w:sz w:val="22"/>
          <w:szCs w:val="22"/>
        </w:rPr>
      </w:pPr>
    </w:p>
    <w:p w14:paraId="24A4D9C5" w14:textId="77777777" w:rsidR="00CB7158" w:rsidRDefault="00CB7158" w:rsidP="008750DE">
      <w:pPr>
        <w:tabs>
          <w:tab w:val="left" w:pos="-3690"/>
          <w:tab w:val="left" w:pos="0"/>
        </w:tabs>
        <w:rPr>
          <w:rFonts w:asciiTheme="majorHAnsi" w:hAnsiTheme="majorHAnsi" w:cs="Times New Roman"/>
          <w:sz w:val="22"/>
          <w:szCs w:val="22"/>
        </w:rPr>
      </w:pPr>
    </w:p>
    <w:p w14:paraId="1BF63743" w14:textId="77777777" w:rsidR="00875415" w:rsidRPr="00875415" w:rsidRDefault="00875415" w:rsidP="00875415">
      <w:pPr>
        <w:autoSpaceDE w:val="0"/>
        <w:autoSpaceDN w:val="0"/>
        <w:adjustRightInd w:val="0"/>
        <w:jc w:val="center"/>
        <w:rPr>
          <w:rFonts w:ascii="Cambria" w:eastAsia="Batang" w:hAnsi="Cambria" w:cs="Calibri"/>
          <w:color w:val="008080"/>
          <w:sz w:val="22"/>
          <w:szCs w:val="22"/>
          <w:lang w:eastAsia="ko-KR"/>
        </w:rPr>
      </w:pPr>
      <w:r w:rsidRPr="00875415">
        <w:rPr>
          <w:rFonts w:ascii="Cambria" w:eastAsia="Batang" w:hAnsi="Cambria" w:cs="Calibri"/>
          <w:color w:val="008080"/>
          <w:sz w:val="22"/>
          <w:szCs w:val="22"/>
          <w:lang w:eastAsia="ko-KR"/>
        </w:rPr>
        <w:t>Tamara L. Densmore, M.D., Medical Director</w:t>
      </w:r>
    </w:p>
    <w:p w14:paraId="4FB2CB2C" w14:textId="77777777" w:rsidR="00875415" w:rsidRPr="00875415" w:rsidRDefault="00875415" w:rsidP="00875415">
      <w:pPr>
        <w:autoSpaceDE w:val="0"/>
        <w:autoSpaceDN w:val="0"/>
        <w:adjustRightInd w:val="0"/>
        <w:jc w:val="center"/>
        <w:rPr>
          <w:rFonts w:ascii="Cambria" w:eastAsia="Batang" w:hAnsi="Cambria" w:cs="Calibri"/>
          <w:color w:val="008080"/>
          <w:sz w:val="22"/>
          <w:szCs w:val="22"/>
          <w:lang w:eastAsia="ko-KR"/>
        </w:rPr>
      </w:pPr>
      <w:r w:rsidRPr="00875415">
        <w:rPr>
          <w:rFonts w:ascii="Cambria" w:eastAsia="Batang" w:hAnsi="Cambria" w:cs="Calibri"/>
          <w:color w:val="008080"/>
          <w:sz w:val="22"/>
          <w:szCs w:val="22"/>
          <w:lang w:eastAsia="ko-KR"/>
        </w:rPr>
        <w:t>100 North Washington Blvd., Suite 102, Sarasota, FL  34236</w:t>
      </w:r>
    </w:p>
    <w:p w14:paraId="19293BEA" w14:textId="77777777" w:rsidR="00875415" w:rsidRPr="00875415" w:rsidRDefault="00875415" w:rsidP="00875415">
      <w:pPr>
        <w:autoSpaceDE w:val="0"/>
        <w:autoSpaceDN w:val="0"/>
        <w:adjustRightInd w:val="0"/>
        <w:jc w:val="center"/>
        <w:rPr>
          <w:rFonts w:ascii="Cambria" w:eastAsia="Batang" w:hAnsi="Cambria" w:cs="Calibri"/>
          <w:color w:val="008080"/>
          <w:sz w:val="22"/>
          <w:szCs w:val="22"/>
          <w:lang w:eastAsia="ko-KR"/>
        </w:rPr>
      </w:pPr>
      <w:proofErr w:type="gramStart"/>
      <w:r w:rsidRPr="00875415">
        <w:rPr>
          <w:rFonts w:ascii="Cambria" w:eastAsia="Batang" w:hAnsi="Cambria" w:cs="Calibri"/>
          <w:color w:val="008080"/>
          <w:sz w:val="22"/>
          <w:szCs w:val="22"/>
          <w:lang w:eastAsia="ko-KR"/>
        </w:rPr>
        <w:t>office</w:t>
      </w:r>
      <w:proofErr w:type="gramEnd"/>
      <w:r w:rsidRPr="00875415">
        <w:rPr>
          <w:rFonts w:ascii="Cambria" w:eastAsia="Batang" w:hAnsi="Cambria" w:cs="Calibri"/>
          <w:color w:val="008080"/>
          <w:sz w:val="22"/>
          <w:szCs w:val="22"/>
          <w:lang w:eastAsia="ko-KR"/>
        </w:rPr>
        <w:t>: 941-266-9090          fax:  941-718-4920          www.revmeupnow.com</w:t>
      </w:r>
    </w:p>
    <w:p w14:paraId="2E46EC4E" w14:textId="77777777" w:rsidR="00875415" w:rsidRPr="00875415" w:rsidRDefault="00875415" w:rsidP="008750DE">
      <w:pPr>
        <w:tabs>
          <w:tab w:val="left" w:pos="-3690"/>
          <w:tab w:val="left" w:pos="0"/>
        </w:tabs>
        <w:rPr>
          <w:rFonts w:asciiTheme="majorHAnsi" w:hAnsiTheme="majorHAnsi"/>
          <w:sz w:val="22"/>
          <w:szCs w:val="22"/>
        </w:rPr>
      </w:pPr>
    </w:p>
    <w:sectPr w:rsidR="00875415" w:rsidRPr="00875415" w:rsidSect="009728C3">
      <w:pgSz w:w="12240" w:h="15840"/>
      <w:pgMar w:top="99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DE"/>
    <w:rsid w:val="00634C8F"/>
    <w:rsid w:val="008750DE"/>
    <w:rsid w:val="00875415"/>
    <w:rsid w:val="008900A0"/>
    <w:rsid w:val="009728C3"/>
    <w:rsid w:val="00C96523"/>
    <w:rsid w:val="00CB7158"/>
    <w:rsid w:val="00D1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ECEA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C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C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1618</Characters>
  <Application>Microsoft Macintosh Word</Application>
  <DocSecurity>0</DocSecurity>
  <Lines>44</Lines>
  <Paragraphs>16</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Lockwood</dc:creator>
  <cp:keywords/>
  <dc:description/>
  <cp:lastModifiedBy>Tamara Densmore</cp:lastModifiedBy>
  <cp:revision>2</cp:revision>
  <dcterms:created xsi:type="dcterms:W3CDTF">2011-12-10T16:11:00Z</dcterms:created>
  <dcterms:modified xsi:type="dcterms:W3CDTF">2011-12-10T16:11:00Z</dcterms:modified>
</cp:coreProperties>
</file>